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9A1E21">
            <w:pPr>
              <w:spacing w:line="240" w:lineRule="auto"/>
            </w:pPr>
            <w:r>
              <w:t>Music Recordings – clas</w:t>
            </w:r>
            <w:r w:rsidR="001D28AD">
              <w:t>sical music with authority records</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9A1E21">
            <w:pPr>
              <w:spacing w:line="240" w:lineRule="auto"/>
            </w:pPr>
            <w:r>
              <w:t>Wibke Weigand / DNB</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0E2FC1">
      <w:r>
        <w:rPr>
          <w:i/>
        </w:rPr>
        <w:t>A use should contain information on:</w:t>
      </w:r>
    </w:p>
    <w:p w:rsidR="00D773D9" w:rsidRDefault="000E2FC1">
      <w:pPr>
        <w:ind w:left="720" w:firstLine="720"/>
      </w:pPr>
      <w:r>
        <w:rPr>
          <w:i/>
        </w:rPr>
        <w:t>-what is the type of sound objects you provide Europeana (vinyle,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pPr>
      <w:r>
        <w:rPr>
          <w:i/>
        </w:rPr>
        <w:t>-Do the objects have digital representations? And if yes, of what type (same recording in different formats, video, images…)?</w:t>
      </w:r>
    </w:p>
    <w:p w:rsidR="00D773D9" w:rsidRDefault="00D773D9">
      <w:pPr>
        <w:ind w:left="720" w:firstLine="720"/>
      </w:pP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7E0F49">
        <w:tc>
          <w:tcPr>
            <w:tcW w:w="12900" w:type="dxa"/>
            <w:tcMar>
              <w:top w:w="100" w:type="dxa"/>
              <w:left w:w="100" w:type="dxa"/>
              <w:bottom w:w="100" w:type="dxa"/>
              <w:right w:w="100" w:type="dxa"/>
            </w:tcMar>
          </w:tcPr>
          <w:p w:rsidR="001D28AD" w:rsidRDefault="001D28AD">
            <w:pPr>
              <w:spacing w:line="240" w:lineRule="auto"/>
            </w:pPr>
            <w:r>
              <w:t>Collection:</w:t>
            </w:r>
          </w:p>
          <w:p w:rsidR="00D773D9" w:rsidRDefault="009A1E21">
            <w:pPr>
              <w:spacing w:line="240" w:lineRule="auto"/>
            </w:pPr>
            <w:r>
              <w:t xml:space="preserve">Music Recordings </w:t>
            </w:r>
            <w:r w:rsidR="00E842D8">
              <w:t>collected</w:t>
            </w:r>
            <w:r w:rsidR="00802AFB">
              <w:t xml:space="preserve"> </w:t>
            </w:r>
            <w:r w:rsidR="00E842D8">
              <w:t xml:space="preserve"> and described in the DNB</w:t>
            </w:r>
            <w:r w:rsidR="00802AFB">
              <w:t xml:space="preserve"> on behalf of legal deposit </w:t>
            </w:r>
            <w:r w:rsidR="00E842D8">
              <w:t xml:space="preserve"> </w:t>
            </w:r>
            <w:r>
              <w:t>include all kind of carrier types. A description / name of carrier type is given within the metadata.</w:t>
            </w:r>
          </w:p>
          <w:p w:rsidR="009A1E21" w:rsidRDefault="009A1E21">
            <w:pPr>
              <w:spacing w:line="240" w:lineRule="auto"/>
            </w:pPr>
          </w:p>
          <w:p w:rsidR="001D28AD" w:rsidRDefault="001D28AD">
            <w:pPr>
              <w:spacing w:line="240" w:lineRule="auto"/>
            </w:pPr>
            <w:r>
              <w:t>Structure</w:t>
            </w:r>
          </w:p>
          <w:p w:rsidR="009A1E21" w:rsidRDefault="009A1E21">
            <w:pPr>
              <w:spacing w:line="240" w:lineRule="auto"/>
            </w:pPr>
            <w:r>
              <w:t>Music Recordings of classical music are documented in a hierarch</w:t>
            </w:r>
            <w:r w:rsidR="00D2231A">
              <w:t>y</w:t>
            </w:r>
            <w:r>
              <w:t xml:space="preserve"> of records – including authority </w:t>
            </w:r>
            <w:r w:rsidR="001D28AD">
              <w:t>record</w:t>
            </w:r>
            <w:r>
              <w:t xml:space="preserve"> for persons/corporate bodies (composers, performer) and work of music / generic work. In the bibliographic description a link to the authority </w:t>
            </w:r>
            <w:r w:rsidR="001D28AD">
              <w:t>record</w:t>
            </w:r>
            <w:r>
              <w:t xml:space="preserve"> via identification number is provided.</w:t>
            </w:r>
            <w:r w:rsidR="00E842D8">
              <w:t xml:space="preserve"> If the music recording lists a wide number of performers, not all </w:t>
            </w:r>
            <w:r w:rsidR="001D28AD">
              <w:t xml:space="preserve">authority records of persons are </w:t>
            </w:r>
            <w:r w:rsidR="00E842D8">
              <w:t>given.  If the music recording contains the expression of more than one work</w:t>
            </w:r>
            <w:r w:rsidR="001D28AD">
              <w:t>, the link to the authority record</w:t>
            </w:r>
            <w:r w:rsidR="00E842D8">
              <w:t xml:space="preserve"> of several (not always all of the contained works) are provided.</w:t>
            </w:r>
          </w:p>
          <w:p w:rsidR="007E0F49" w:rsidRDefault="007E0F49">
            <w:pPr>
              <w:spacing w:line="240" w:lineRule="auto"/>
            </w:pPr>
            <w:r>
              <w:t>Note that information that is given in an authority record will usually not be repeated / duplicated in the bibliographic record. For example medium of performance or date of birth of a person.</w:t>
            </w:r>
          </w:p>
          <w:p w:rsidR="00E842D8" w:rsidRDefault="00E842D8">
            <w:pPr>
              <w:spacing w:line="240" w:lineRule="auto"/>
            </w:pPr>
            <w:r>
              <w:t>Music Recordings</w:t>
            </w:r>
            <w:r w:rsidR="00802AFB">
              <w:t xml:space="preserve"> / legal deposit</w:t>
            </w:r>
            <w:r>
              <w:t xml:space="preserve"> described in the DNB have two bibliographic level</w:t>
            </w:r>
            <w:r w:rsidR="00A75166">
              <w:t>s</w:t>
            </w:r>
            <w:r>
              <w:t xml:space="preserve">. 1) fully established, generally used for data exchange 2) level </w:t>
            </w:r>
            <w:r w:rsidR="001D28AD">
              <w:t xml:space="preserve">of </w:t>
            </w:r>
            <w:r>
              <w:t>inventory</w:t>
            </w:r>
          </w:p>
          <w:p w:rsidR="009A1E21" w:rsidRDefault="00E842D8">
            <w:pPr>
              <w:spacing w:line="240" w:lineRule="auto"/>
            </w:pPr>
            <w:r>
              <w:t>There is no description of the collection as a whole.</w:t>
            </w:r>
          </w:p>
          <w:p w:rsidR="001D28AD" w:rsidRDefault="001D28AD" w:rsidP="001D28AD">
            <w:pPr>
              <w:spacing w:line="240" w:lineRule="auto"/>
            </w:pPr>
          </w:p>
          <w:p w:rsidR="001D28AD" w:rsidRDefault="001D28AD" w:rsidP="001D28AD">
            <w:pPr>
              <w:spacing w:line="240" w:lineRule="auto"/>
            </w:pPr>
            <w:r>
              <w:t>Access</w:t>
            </w:r>
          </w:p>
          <w:p w:rsidR="00744FDF" w:rsidRPr="001D28AD" w:rsidRDefault="00744FDF">
            <w:pPr>
              <w:spacing w:line="240" w:lineRule="auto"/>
              <w:rPr>
                <w:lang w:val="de-DE"/>
              </w:rPr>
            </w:pPr>
            <w:r>
              <w:t xml:space="preserve">Soundfiles (digital file of an analog carrier or safety copy of a digital carrier) will be presented on the DNB </w:t>
            </w:r>
            <w:r w:rsidR="001D28AD">
              <w:t>OPAC</w:t>
            </w:r>
            <w:r>
              <w:t xml:space="preserve"> – due to rights and licencing situation for inhouse-use only. </w:t>
            </w:r>
            <w:r w:rsidRPr="001D28AD">
              <w:rPr>
                <w:lang w:val="de-DE"/>
              </w:rPr>
              <w:t>DNB will</w:t>
            </w:r>
            <w:r w:rsidR="00802AFB" w:rsidRPr="001D28AD">
              <w:rPr>
                <w:lang w:val="de-DE"/>
              </w:rPr>
              <w:t xml:space="preserve"> provide metadata to Europeana.</w:t>
            </w:r>
          </w:p>
          <w:p w:rsidR="00D773D9" w:rsidRPr="00D2231A" w:rsidRDefault="00445334" w:rsidP="006901B4">
            <w:pPr>
              <w:spacing w:line="240" w:lineRule="auto"/>
              <w:rPr>
                <w:lang w:val="de-DE"/>
              </w:rPr>
            </w:pPr>
            <w:r>
              <w:rPr>
                <w:lang w:val="de-DE"/>
              </w:rPr>
              <w:t xml:space="preserve">One audiofile exists for each side of the carrier that contains content, i.e. 1 file for 1 CD, 2 files 1 LP. </w:t>
            </w:r>
            <w:r w:rsidRPr="00445334">
              <w:rPr>
                <w:lang w:val="de-DE"/>
              </w:rPr>
              <w:t xml:space="preserve">There are no single files for </w:t>
            </w:r>
            <w:r w:rsidRPr="00445334">
              <w:rPr>
                <w:lang w:val="de-DE"/>
              </w:rPr>
              <w:lastRenderedPageBreak/>
              <w:t>each track.</w:t>
            </w:r>
            <w:bookmarkStart w:id="0" w:name="_GoBack"/>
            <w:bookmarkEnd w:id="0"/>
          </w:p>
        </w:tc>
      </w:tr>
    </w:tbl>
    <w:p w:rsidR="00D773D9" w:rsidRDefault="00D773D9">
      <w:pPr>
        <w:rPr>
          <w:lang w:val="de-DE"/>
        </w:rPr>
      </w:pPr>
    </w:p>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E0F49">
            <w:pPr>
              <w:spacing w:line="240" w:lineRule="auto"/>
            </w:pPr>
            <w:r>
              <w:t xml:space="preserve">DNB_musicrecordings_sample.xml </w:t>
            </w:r>
            <w:hyperlink r:id="rId9" w:history="1">
              <w:r w:rsidRPr="00D9131C">
                <w:rPr>
                  <w:rStyle w:val="Hyperlink"/>
                  <w:rFonts w:ascii="Verdana" w:hAnsi="Verdana"/>
                  <w:lang w:val="en-US"/>
                </w:rPr>
                <w:t>http://d-nb.info/1023017520</w:t>
              </w:r>
            </w:hyperlink>
          </w:p>
          <w:p w:rsidR="007E0F49" w:rsidRDefault="007E0F49">
            <w:pPr>
              <w:spacing w:line="240" w:lineRule="auto"/>
            </w:pPr>
            <w:r>
              <w:t xml:space="preserve">DNB_authorityfile_musicalwork_sample.xml </w:t>
            </w:r>
            <w:hyperlink r:id="rId10" w:history="1">
              <w:r w:rsidRPr="00D9131C">
                <w:rPr>
                  <w:rStyle w:val="Hyperlink"/>
                  <w:rFonts w:ascii="Verdana" w:hAnsi="Verdana"/>
                  <w:lang w:val="en-US"/>
                </w:rPr>
                <w:t>http://d-nb.info/gnd/300016433</w:t>
              </w:r>
            </w:hyperlink>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1D28AD">
            <w:pPr>
              <w:spacing w:line="240" w:lineRule="auto"/>
            </w:pPr>
            <w:r>
              <w:t>MARC-X</w:t>
            </w:r>
            <w:r w:rsidR="0092307C">
              <w:t>ML</w:t>
            </w:r>
            <w:r w:rsidR="007E0F49">
              <w:t>,</w:t>
            </w:r>
          </w:p>
          <w:p w:rsidR="0092307C" w:rsidRDefault="0092307C">
            <w:pPr>
              <w:spacing w:line="240" w:lineRule="auto"/>
            </w:pPr>
            <w:r>
              <w:t xml:space="preserve">Also available: Dublin Core,  </w:t>
            </w:r>
            <w:r w:rsidR="007E0F49">
              <w:t xml:space="preserve">RDF, PICA+, </w:t>
            </w:r>
            <w:r>
              <w:t xml:space="preserve">PICA3, </w:t>
            </w:r>
          </w:p>
          <w:p w:rsidR="0092307C" w:rsidRDefault="0092307C">
            <w:pPr>
              <w:spacing w:line="240" w:lineRule="auto"/>
            </w:pPr>
            <w:r>
              <w:t>EDM will be available via DDB</w:t>
            </w:r>
          </w:p>
          <w:p w:rsidR="001D28AD" w:rsidRDefault="001D28AD">
            <w:pPr>
              <w:spacing w:line="240" w:lineRule="auto"/>
            </w:pP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852079" w:rsidRPr="001D28AD" w:rsidRDefault="00852079" w:rsidP="00852079">
            <w:pPr>
              <w:spacing w:line="240" w:lineRule="auto"/>
              <w:rPr>
                <w:lang w:val="en-US"/>
              </w:rPr>
            </w:pPr>
            <w:r w:rsidRPr="001D28AD">
              <w:rPr>
                <w:lang w:val="en-US"/>
              </w:rPr>
              <w:t>Authority record for a work</w:t>
            </w:r>
          </w:p>
          <w:p w:rsidR="00852079" w:rsidRDefault="00852079" w:rsidP="00852079">
            <w:pPr>
              <w:spacing w:line="240" w:lineRule="auto"/>
            </w:pPr>
            <w:r w:rsidRPr="001D28AD">
              <w:rPr>
                <w:lang w:val="en-US"/>
              </w:rPr>
              <w:t xml:space="preserve">As part of the </w:t>
            </w:r>
            <w:r w:rsidRPr="001D28AD">
              <w:rPr>
                <w:i/>
                <w:lang w:val="en-US"/>
              </w:rPr>
              <w:t>Gemeinsame Normdatei (GND)</w:t>
            </w:r>
            <w:r w:rsidRPr="001D28AD">
              <w:rPr>
                <w:lang w:val="en-US"/>
              </w:rPr>
              <w:t xml:space="preserve"> there are authority records for musical works provided – in general for classical music.</w:t>
            </w:r>
            <w:r>
              <w:rPr>
                <w:lang w:val="en-US"/>
              </w:rPr>
              <w:t xml:space="preserve"> </w:t>
            </w:r>
            <w:hyperlink r:id="rId11" w:tooltip="GND" w:history="1">
              <w:r>
                <w:rPr>
                  <w:rStyle w:val="Hyperlink"/>
                </w:rPr>
                <w:t>http://www.dnb.de/gnd</w:t>
              </w:r>
            </w:hyperlink>
            <w:r>
              <w:t xml:space="preserve"> </w:t>
            </w:r>
          </w:p>
          <w:p w:rsidR="00852079" w:rsidRDefault="00852079" w:rsidP="00852079">
            <w:pPr>
              <w:spacing w:line="240" w:lineRule="auto"/>
            </w:pPr>
            <w:r>
              <w:t>These data records give information about</w:t>
            </w:r>
          </w:p>
          <w:p w:rsidR="00852079" w:rsidRDefault="00852079" w:rsidP="00852079">
            <w:pPr>
              <w:pStyle w:val="Listenabsatz"/>
              <w:numPr>
                <w:ilvl w:val="0"/>
                <w:numId w:val="1"/>
              </w:numPr>
              <w:spacing w:line="240" w:lineRule="auto"/>
              <w:rPr>
                <w:lang w:val="en-US"/>
              </w:rPr>
            </w:pPr>
            <w:r>
              <w:rPr>
                <w:lang w:val="en-US"/>
              </w:rPr>
              <w:t>Preferred title</w:t>
            </w:r>
            <w:r>
              <w:rPr>
                <w:lang w:val="en-US"/>
              </w:rPr>
              <w:br/>
              <w:t>including distinguishing elements to the preferred title</w:t>
            </w:r>
          </w:p>
          <w:p w:rsidR="00852079" w:rsidRDefault="00852079" w:rsidP="00852079">
            <w:pPr>
              <w:pStyle w:val="Listenabsatz"/>
              <w:numPr>
                <w:ilvl w:val="0"/>
                <w:numId w:val="1"/>
              </w:numPr>
              <w:spacing w:line="240" w:lineRule="auto"/>
              <w:rPr>
                <w:lang w:val="en-US"/>
              </w:rPr>
            </w:pPr>
            <w:r>
              <w:rPr>
                <w:lang w:val="en-US"/>
              </w:rPr>
              <w:t>Medium of Performance</w:t>
            </w:r>
          </w:p>
          <w:p w:rsidR="00852079" w:rsidRDefault="00852079" w:rsidP="00852079">
            <w:pPr>
              <w:pStyle w:val="Listenabsatz"/>
              <w:numPr>
                <w:ilvl w:val="0"/>
                <w:numId w:val="1"/>
              </w:numPr>
              <w:spacing w:line="240" w:lineRule="auto"/>
              <w:rPr>
                <w:lang w:val="en-US"/>
              </w:rPr>
            </w:pPr>
            <w:r>
              <w:rPr>
                <w:lang w:val="en-US"/>
              </w:rPr>
              <w:lastRenderedPageBreak/>
              <w:t xml:space="preserve">Numeric designation </w:t>
            </w:r>
          </w:p>
          <w:p w:rsidR="00852079" w:rsidRDefault="00852079" w:rsidP="00852079">
            <w:pPr>
              <w:pStyle w:val="Listenabsatz"/>
              <w:numPr>
                <w:ilvl w:val="0"/>
                <w:numId w:val="1"/>
              </w:numPr>
              <w:spacing w:line="240" w:lineRule="auto"/>
              <w:rPr>
                <w:lang w:val="en-US"/>
              </w:rPr>
            </w:pPr>
            <w:r>
              <w:rPr>
                <w:lang w:val="en-US"/>
              </w:rPr>
              <w:t>Key</w:t>
            </w:r>
          </w:p>
          <w:p w:rsidR="00852079" w:rsidRDefault="00852079" w:rsidP="00852079">
            <w:pPr>
              <w:pStyle w:val="Listenabsatz"/>
              <w:numPr>
                <w:ilvl w:val="0"/>
                <w:numId w:val="1"/>
              </w:numPr>
              <w:spacing w:line="240" w:lineRule="auto"/>
              <w:rPr>
                <w:lang w:val="en-US"/>
              </w:rPr>
            </w:pPr>
            <w:r w:rsidRPr="001D28AD">
              <w:rPr>
                <w:lang w:val="en-US"/>
              </w:rPr>
              <w:t>Source of information (for example reference works)</w:t>
            </w:r>
          </w:p>
          <w:p w:rsidR="003B1B65" w:rsidRDefault="003B1B65" w:rsidP="003B1B65">
            <w:pPr>
              <w:spacing w:line="240" w:lineRule="auto"/>
              <w:rPr>
                <w:lang w:val="en-US"/>
              </w:rPr>
            </w:pPr>
          </w:p>
          <w:p w:rsidR="003B1B65" w:rsidRDefault="003B1B65" w:rsidP="003B1B65">
            <w:pPr>
              <w:spacing w:line="240" w:lineRule="auto"/>
              <w:rPr>
                <w:lang w:val="en-US"/>
              </w:rPr>
            </w:pPr>
          </w:p>
          <w:p w:rsidR="003B1B65" w:rsidRDefault="003B1B65" w:rsidP="003B1B65">
            <w:pPr>
              <w:spacing w:line="240" w:lineRule="auto"/>
              <w:rPr>
                <w:lang w:val="en-US"/>
              </w:rPr>
            </w:pPr>
            <w:r>
              <w:rPr>
                <w:lang w:val="en-US"/>
              </w:rPr>
              <w:t>Bibliographic description of sound recording</w:t>
            </w:r>
          </w:p>
          <w:p w:rsidR="003B1B65" w:rsidRDefault="003B1B65" w:rsidP="003B1B65">
            <w:pPr>
              <w:spacing w:line="240" w:lineRule="auto"/>
              <w:rPr>
                <w:lang w:val="en-US"/>
              </w:rPr>
            </w:pPr>
          </w:p>
          <w:p w:rsidR="003B1B65" w:rsidRDefault="003B1B65" w:rsidP="003B1B65">
            <w:pPr>
              <w:pStyle w:val="Listenabsatz"/>
              <w:numPr>
                <w:ilvl w:val="0"/>
                <w:numId w:val="1"/>
              </w:numPr>
              <w:spacing w:line="240" w:lineRule="auto"/>
              <w:rPr>
                <w:lang w:val="en-US"/>
              </w:rPr>
            </w:pPr>
            <w:r>
              <w:rPr>
                <w:lang w:val="en-US"/>
              </w:rPr>
              <w:t>Specification of material using intern code</w:t>
            </w:r>
          </w:p>
          <w:p w:rsidR="003B1B65" w:rsidRDefault="003B1B65" w:rsidP="003B1B65">
            <w:pPr>
              <w:pStyle w:val="Listenabsatz"/>
              <w:numPr>
                <w:ilvl w:val="0"/>
                <w:numId w:val="1"/>
              </w:numPr>
              <w:spacing w:line="240" w:lineRule="auto"/>
              <w:rPr>
                <w:lang w:val="en-US"/>
              </w:rPr>
            </w:pPr>
            <w:r>
              <w:rPr>
                <w:lang w:val="en-US"/>
              </w:rPr>
              <w:t>Specification of sound characteristics using descriptive notes</w:t>
            </w:r>
          </w:p>
          <w:p w:rsidR="003B1B65" w:rsidRDefault="003B1B65" w:rsidP="003B1B65">
            <w:pPr>
              <w:pStyle w:val="Listenabsatz"/>
              <w:numPr>
                <w:ilvl w:val="0"/>
                <w:numId w:val="1"/>
              </w:numPr>
              <w:spacing w:line="240" w:lineRule="auto"/>
              <w:rPr>
                <w:lang w:val="en-US"/>
              </w:rPr>
            </w:pPr>
            <w:r>
              <w:rPr>
                <w:lang w:val="en-US"/>
              </w:rPr>
              <w:t>Note on place and date of capture</w:t>
            </w:r>
          </w:p>
          <w:p w:rsidR="003B1B65" w:rsidRDefault="003B1B65" w:rsidP="003B1B65">
            <w:pPr>
              <w:pStyle w:val="Listenabsatz"/>
              <w:numPr>
                <w:ilvl w:val="0"/>
                <w:numId w:val="1"/>
              </w:numPr>
              <w:spacing w:line="240" w:lineRule="auto"/>
              <w:rPr>
                <w:lang w:val="en-US"/>
              </w:rPr>
            </w:pPr>
            <w:r>
              <w:rPr>
                <w:lang w:val="en-US"/>
              </w:rPr>
              <w:t>Copyright dates</w:t>
            </w:r>
          </w:p>
          <w:p w:rsidR="003B1B65" w:rsidRDefault="003B1B65" w:rsidP="003B1B65">
            <w:pPr>
              <w:pStyle w:val="Listenabsatz"/>
              <w:numPr>
                <w:ilvl w:val="0"/>
                <w:numId w:val="1"/>
              </w:numPr>
              <w:spacing w:line="240" w:lineRule="auto"/>
              <w:rPr>
                <w:lang w:val="en-US"/>
              </w:rPr>
            </w:pPr>
            <w:r>
              <w:rPr>
                <w:lang w:val="en-US"/>
              </w:rPr>
              <w:t>List of performers as a note</w:t>
            </w:r>
          </w:p>
          <w:p w:rsidR="003B1B65" w:rsidRDefault="003B1B65" w:rsidP="003B1B65">
            <w:pPr>
              <w:pStyle w:val="Listenabsatz"/>
              <w:numPr>
                <w:ilvl w:val="0"/>
                <w:numId w:val="1"/>
              </w:numPr>
              <w:spacing w:line="240" w:lineRule="auto"/>
              <w:rPr>
                <w:lang w:val="en-US"/>
              </w:rPr>
            </w:pPr>
            <w:r>
              <w:rPr>
                <w:lang w:val="en-US"/>
              </w:rPr>
              <w:t>Wide range of identification numbers (EAN, Labelcode)</w:t>
            </w:r>
          </w:p>
          <w:p w:rsidR="00D773D9" w:rsidRDefault="003B1B65" w:rsidP="00F112AE">
            <w:pPr>
              <w:pStyle w:val="Listenabsatz"/>
              <w:numPr>
                <w:ilvl w:val="0"/>
                <w:numId w:val="1"/>
              </w:numPr>
              <w:spacing w:line="240" w:lineRule="auto"/>
            </w:pPr>
            <w:r w:rsidRPr="00F112AE">
              <w:rPr>
                <w:lang w:val="en-US"/>
              </w:rPr>
              <w:t>Content note – as a description of included works or tracks (especially for popular music)</w:t>
            </w:r>
          </w:p>
        </w:tc>
      </w:tr>
    </w:tbl>
    <w:p w:rsidR="00D773D9" w:rsidRDefault="00D773D9"/>
    <w:p w:rsidR="00D773D9" w:rsidRDefault="000E2FC1">
      <w:r>
        <w:rPr>
          <w:b/>
        </w:rPr>
        <w:t>Vocabularies</w:t>
      </w:r>
    </w:p>
    <w:p w:rsidR="00D773D9" w:rsidRDefault="000E2FC1">
      <w:r>
        <w:rPr>
          <w:b/>
        </w:rPr>
        <w:t xml:space="preserve">7) </w:t>
      </w:r>
      <w:r>
        <w:t>Are you using specific vocabularies(e.g. thesauri) to describe information such as subjects, genres in your metadata?</w:t>
      </w:r>
    </w:p>
    <w:p w:rsidR="00D773D9" w:rsidRDefault="000E2FC1">
      <w:r>
        <w:rPr>
          <w:i/>
        </w:rPr>
        <w:t xml:space="preserve"> If not go to question 11.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1D28AD">
            <w:pPr>
              <w:spacing w:line="240" w:lineRule="auto"/>
            </w:pPr>
            <w:r>
              <w:t>Parts of DDC (dewey decimal classification) 780</w:t>
            </w:r>
          </w:p>
          <w:p w:rsidR="00D773D9" w:rsidRDefault="001D28AD" w:rsidP="00F112AE">
            <w:pPr>
              <w:spacing w:line="240" w:lineRule="auto"/>
            </w:pPr>
            <w:r>
              <w:t>Only in a simple way to describe content</w:t>
            </w:r>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879ED">
            <w:pPr>
              <w:spacing w:line="240" w:lineRule="auto"/>
            </w:pPr>
            <w:r>
              <w:t>MARC 082 $a</w:t>
            </w: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Pr="00F112AE" w:rsidRDefault="00D773D9"/>
    <w:p w:rsidR="00F112AE" w:rsidRPr="00F112AE" w:rsidRDefault="00F112AE"/>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12">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E01D69">
            <w:pPr>
              <w:spacing w:line="240" w:lineRule="auto"/>
            </w:pPr>
            <w:r>
              <w:t>Within Europeana –</w:t>
            </w:r>
            <w:r w:rsidR="003B1B65">
              <w:t xml:space="preserve"> Yes</w:t>
            </w:r>
          </w:p>
          <w:p w:rsidR="00E01D69" w:rsidRDefault="00E01D69">
            <w:pPr>
              <w:spacing w:line="240" w:lineRule="auto"/>
            </w:pPr>
            <w:r>
              <w:t>As an Enrichment of the local data of the DNB – to be discussed</w:t>
            </w: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7E0F49">
      <w:r>
        <w:t>To be of interest:</w:t>
      </w:r>
    </w:p>
    <w:p w:rsidR="007E0F49" w:rsidRDefault="007E0F49"/>
    <w:p w:rsidR="007E0F49" w:rsidRDefault="007E0F49">
      <w:r>
        <w:t xml:space="preserve">Concordance / accordance of vocabulary in different languages – for example for medium of performance, </w:t>
      </w:r>
      <w:r w:rsidR="00CB7747">
        <w:t xml:space="preserve">Key, carrier type </w:t>
      </w:r>
    </w:p>
    <w:p w:rsidR="00CB7747" w:rsidRDefault="00CB7747"/>
    <w:p w:rsidR="00CB7747" w:rsidRDefault="00CB7747">
      <w:r>
        <w:t xml:space="preserve">Technique and criteria for matching bibliographic metadata for music as a basis for matching musical works or musical expression </w:t>
      </w:r>
    </w:p>
    <w:sectPr w:rsidR="00CB7747">
      <w:headerReference w:type="default" r:id="rId13"/>
      <w:footerReference w:type="default" r:id="rId14"/>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96" w:rsidRDefault="000E2FC1">
      <w:pPr>
        <w:spacing w:line="240" w:lineRule="auto"/>
      </w:pPr>
      <w:r>
        <w:separator/>
      </w:r>
    </w:p>
  </w:endnote>
  <w:endnote w:type="continuationSeparator" w:id="0">
    <w:p w:rsidR="00533D96" w:rsidRDefault="000E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Fuzeile"/>
          <w:jc w:val="right"/>
        </w:pPr>
        <w:r>
          <w:fldChar w:fldCharType="begin"/>
        </w:r>
        <w:r>
          <w:instrText xml:space="preserve"> PAGE   \* MERGEFORMAT </w:instrText>
        </w:r>
        <w:r>
          <w:fldChar w:fldCharType="separate"/>
        </w:r>
        <w:r w:rsidR="00445334">
          <w:rPr>
            <w:noProof/>
          </w:rPr>
          <w:t>6</w:t>
        </w:r>
        <w:r>
          <w:rPr>
            <w:noProof/>
          </w:rPr>
          <w:fldChar w:fldCharType="end"/>
        </w:r>
      </w:p>
    </w:sdtContent>
  </w:sdt>
  <w:p w:rsidR="000E2FC1" w:rsidRDefault="000E2F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96" w:rsidRDefault="000E2FC1">
      <w:pPr>
        <w:spacing w:line="240" w:lineRule="auto"/>
      </w:pPr>
      <w:r>
        <w:separator/>
      </w:r>
    </w:p>
  </w:footnote>
  <w:footnote w:type="continuationSeparator" w:id="0">
    <w:p w:rsidR="00533D96" w:rsidRDefault="000E2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6C6"/>
    <w:multiLevelType w:val="hybridMultilevel"/>
    <w:tmpl w:val="CCE8684E"/>
    <w:lvl w:ilvl="0" w:tplc="00E255E6">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
  <w:rsids>
    <w:rsidRoot w:val="00D773D9"/>
    <w:rsid w:val="000E2FC1"/>
    <w:rsid w:val="000E6A00"/>
    <w:rsid w:val="001D28AD"/>
    <w:rsid w:val="003B1B65"/>
    <w:rsid w:val="003E3850"/>
    <w:rsid w:val="00445334"/>
    <w:rsid w:val="00470CC9"/>
    <w:rsid w:val="00533D96"/>
    <w:rsid w:val="006901B4"/>
    <w:rsid w:val="00744FDF"/>
    <w:rsid w:val="007E0F49"/>
    <w:rsid w:val="007E2191"/>
    <w:rsid w:val="00802AFB"/>
    <w:rsid w:val="00852079"/>
    <w:rsid w:val="0092307C"/>
    <w:rsid w:val="009A1E21"/>
    <w:rsid w:val="00A3342A"/>
    <w:rsid w:val="00A75166"/>
    <w:rsid w:val="00CB7747"/>
    <w:rsid w:val="00D2231A"/>
    <w:rsid w:val="00D24EAF"/>
    <w:rsid w:val="00D773D9"/>
    <w:rsid w:val="00D879ED"/>
    <w:rsid w:val="00E01D69"/>
    <w:rsid w:val="00E842D8"/>
    <w:rsid w:val="00F112AE"/>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styleId="Hyperlink">
    <w:name w:val="Hyperlink"/>
    <w:basedOn w:val="Absatz-Standardschriftart"/>
    <w:uiPriority w:val="99"/>
    <w:semiHidden/>
    <w:unhideWhenUsed/>
    <w:rsid w:val="001D28AD"/>
    <w:rPr>
      <w:color w:val="0000FF"/>
      <w:u w:val="single"/>
    </w:rPr>
  </w:style>
  <w:style w:type="paragraph" w:styleId="Listenabsatz">
    <w:name w:val="List Paragraph"/>
    <w:basedOn w:val="Standard"/>
    <w:uiPriority w:val="34"/>
    <w:qFormat/>
    <w:rsid w:val="001D2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styleId="Hyperlink">
    <w:name w:val="Hyperlink"/>
    <w:basedOn w:val="Absatz-Standardschriftart"/>
    <w:uiPriority w:val="99"/>
    <w:semiHidden/>
    <w:unhideWhenUsed/>
    <w:rsid w:val="001D28AD"/>
    <w:rPr>
      <w:color w:val="0000FF"/>
      <w:u w:val="single"/>
    </w:rPr>
  </w:style>
  <w:style w:type="paragraph" w:styleId="Listenabsatz">
    <w:name w:val="List Paragraph"/>
    <w:basedOn w:val="Standard"/>
    <w:uiPriority w:val="34"/>
    <w:qFormat/>
    <w:rsid w:val="001D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folderview?id=0B4N3jJ2PToabWU1scDVFZGVKVEU&amp;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nb.de/DE/Standardisierung/GND/gnd_no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nb.info/gnd/300016433" TargetMode="External"/><Relationship Id="rId4" Type="http://schemas.openxmlformats.org/officeDocument/2006/relationships/settings" Target="settings.xml"/><Relationship Id="rId9" Type="http://schemas.openxmlformats.org/officeDocument/2006/relationships/hyperlink" Target="http://d-nb.info/10230175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B10A8DC0.dotm</Template>
  <TotalTime>0</TotalTime>
  <Pages>6</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Weigand, Wibke</dc:creator>
  <cp:lastModifiedBy>robert luckfiel</cp:lastModifiedBy>
  <cp:revision>18</cp:revision>
  <dcterms:created xsi:type="dcterms:W3CDTF">2014-04-30T12:23:00Z</dcterms:created>
  <dcterms:modified xsi:type="dcterms:W3CDTF">2014-05-09T11:40:00Z</dcterms:modified>
</cp:coreProperties>
</file>